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0E8906">
      <w:pPr>
        <w:widowControl/>
        <w:spacing w:line="400" w:lineRule="exact"/>
        <w:jc w:val="left"/>
        <w:rPr>
          <w:rFonts w:hint="eastAsia" w:ascii="方正仿宋_GB2312" w:hAnsi="方正仿宋_GB2312" w:eastAsia="方正仿宋_GB2312" w:cs="方正仿宋_GB2312"/>
          <w:b/>
          <w:bCs/>
          <w:color w:val="000000"/>
          <w:kern w:val="0"/>
          <w:sz w:val="28"/>
          <w:szCs w:val="28"/>
        </w:rPr>
      </w:pPr>
    </w:p>
    <w:p w14:paraId="48080266">
      <w:pPr>
        <w:widowControl/>
        <w:spacing w:line="400" w:lineRule="exact"/>
        <w:jc w:val="left"/>
        <w:rPr>
          <w:rFonts w:hint="default" w:ascii="Times New Roman" w:hAnsi="Times New Roman" w:eastAsia="楷体_GB2312" w:cs="Times New Roman"/>
          <w:b/>
          <w:bCs/>
          <w:color w:val="000000"/>
          <w:kern w:val="0"/>
          <w:sz w:val="28"/>
          <w:szCs w:val="28"/>
        </w:rPr>
      </w:pPr>
      <w:r>
        <w:rPr>
          <w:rFonts w:hint="default" w:ascii="Times New Roman" w:hAnsi="Times New Roman" w:eastAsia="楷体_GB2312" w:cs="Times New Roman"/>
          <w:b/>
          <w:bCs/>
          <w:color w:val="000000"/>
          <w:kern w:val="0"/>
          <w:sz w:val="44"/>
          <w:szCs w:val="44"/>
        </w:rPr>
        <mc:AlternateContent>
          <mc:Choice Requires="wps">
            <w:drawing>
              <wp:anchor distT="0" distB="0" distL="114300" distR="114300" simplePos="0" relativeHeight="251659264" behindDoc="0" locked="0" layoutInCell="1" allowOverlap="1">
                <wp:simplePos x="0" y="0"/>
                <wp:positionH relativeFrom="column">
                  <wp:posOffset>4010025</wp:posOffset>
                </wp:positionH>
                <wp:positionV relativeFrom="paragraph">
                  <wp:posOffset>75565</wp:posOffset>
                </wp:positionV>
                <wp:extent cx="1371600" cy="4953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371600" cy="495300"/>
                        </a:xfrm>
                        <a:prstGeom prst="rect">
                          <a:avLst/>
                        </a:prstGeom>
                        <a:noFill/>
                        <a:ln>
                          <a:noFill/>
                        </a:ln>
                      </wps:spPr>
                      <wps:txbx>
                        <w:txbxContent>
                          <w:p w14:paraId="7DC7EC31">
                            <w:r>
                              <w:rPr>
                                <w:rFonts w:hint="eastAsia"/>
                              </w:rPr>
                              <w:t>版本：E/0</w:t>
                            </w:r>
                          </w:p>
                          <w:p w14:paraId="418D6C8A">
                            <w:r>
                              <w:rPr>
                                <w:rFonts w:hint="eastAsia"/>
                              </w:rPr>
                              <w:t>编号：QD-823a-12-07</w:t>
                            </w:r>
                          </w:p>
                        </w:txbxContent>
                      </wps:txbx>
                      <wps:bodyPr wrap="square" upright="1"/>
                    </wps:wsp>
                  </a:graphicData>
                </a:graphic>
              </wp:anchor>
            </w:drawing>
          </mc:Choice>
          <mc:Fallback>
            <w:pict>
              <v:shape id="文本框 4" o:spid="_x0000_s1026" o:spt="202" type="#_x0000_t202" style="position:absolute;left:0pt;margin-left:315.75pt;margin-top:5.95pt;height:39pt;width:108pt;z-index:251659264;mso-width-relative:page;mso-height-relative:page;" filled="f" stroked="f" coordsize="21600,21600" o:gfxdata="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vRFItYAAAAJAQAADwAAAAAAAAABACAAAAAiAAAAZHJzL2Rvd25yZXYueG1sUEsBAhQAFAAAAAgA&#10;h07iQDarZPa1AQAAXAMAAA4AAAAAAAAAAQAgAAAAJQEAAGRycy9lMm9Eb2MueG1sUEsFBgAAAAAG&#10;AAYAWQEAAEwFAAAAAA==&#10;">
                <v:fill on="f" focussize="0,0"/>
                <v:stroke on="f"/>
                <v:imagedata o:title=""/>
                <o:lock v:ext="edit" aspectratio="f"/>
                <v:textbox>
                  <w:txbxContent>
                    <w:p w14:paraId="7DC7EC31">
                      <w:r>
                        <w:rPr>
                          <w:rFonts w:hint="eastAsia"/>
                        </w:rPr>
                        <w:t>版本：E/0</w:t>
                      </w:r>
                    </w:p>
                    <w:p w14:paraId="418D6C8A">
                      <w:r>
                        <w:rPr>
                          <w:rFonts w:hint="eastAsia"/>
                        </w:rPr>
                        <w:t>编号：QD-823a-12-07</w:t>
                      </w:r>
                    </w:p>
                  </w:txbxContent>
                </v:textbox>
              </v:shape>
            </w:pict>
          </mc:Fallback>
        </mc:AlternateContent>
      </w:r>
      <w:r>
        <w:rPr>
          <w:rFonts w:hint="default" w:ascii="Times New Roman" w:hAnsi="Times New Roman" w:eastAsia="楷体_GB2312" w:cs="Times New Roman"/>
          <w:b/>
          <w:bCs/>
          <w:color w:val="000000"/>
          <w:kern w:val="0"/>
          <w:sz w:val="28"/>
          <w:szCs w:val="28"/>
        </w:rPr>
        <w:t>附件（一）</w:t>
      </w:r>
    </w:p>
    <w:p w14:paraId="1A679B87">
      <w:pPr>
        <w:widowControl/>
        <w:spacing w:line="432" w:lineRule="auto"/>
        <w:jc w:val="center"/>
        <w:rPr>
          <w:rFonts w:hint="default" w:ascii="Times New Roman" w:hAnsi="Times New Roman" w:eastAsia="楷体_GB2312" w:cs="Times New Roman"/>
          <w:b/>
          <w:bCs/>
          <w:color w:val="000000"/>
          <w:kern w:val="0"/>
          <w:sz w:val="44"/>
          <w:szCs w:val="44"/>
        </w:rPr>
      </w:pPr>
      <w:r>
        <w:rPr>
          <w:rFonts w:hint="default" w:ascii="Times New Roman" w:hAnsi="Times New Roman" w:eastAsia="楷体_GB2312" w:cs="Times New Roman"/>
          <w:b/>
          <w:bCs/>
          <w:color w:val="000000"/>
          <w:kern w:val="0"/>
          <w:sz w:val="44"/>
          <w:szCs w:val="44"/>
        </w:rPr>
        <w:t>企业招聘申请表</w:t>
      </w:r>
    </w:p>
    <w:tbl>
      <w:tblPr>
        <w:tblStyle w:val="6"/>
        <w:tblW w:w="0" w:type="auto"/>
        <w:jc w:val="center"/>
        <w:tblLayout w:type="autofit"/>
        <w:tblCellMar>
          <w:top w:w="0" w:type="dxa"/>
          <w:left w:w="0" w:type="dxa"/>
          <w:bottom w:w="0" w:type="dxa"/>
          <w:right w:w="0" w:type="dxa"/>
        </w:tblCellMar>
      </w:tblPr>
      <w:tblGrid>
        <w:gridCol w:w="1380"/>
        <w:gridCol w:w="2717"/>
        <w:gridCol w:w="1421"/>
        <w:gridCol w:w="1380"/>
        <w:gridCol w:w="1382"/>
      </w:tblGrid>
      <w:tr w14:paraId="357FD1A6">
        <w:tblPrEx>
          <w:tblCellMar>
            <w:top w:w="0" w:type="dxa"/>
            <w:left w:w="0" w:type="dxa"/>
            <w:bottom w:w="0" w:type="dxa"/>
            <w:right w:w="0" w:type="dxa"/>
          </w:tblCellMar>
        </w:tblPrEx>
        <w:trPr>
          <w:trHeight w:val="681" w:hRule="atLeast"/>
          <w:jc w:val="center"/>
        </w:trPr>
        <w:tc>
          <w:tcPr>
            <w:tcW w:w="1380"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5FC75489">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单位名称</w:t>
            </w:r>
          </w:p>
        </w:tc>
        <w:tc>
          <w:tcPr>
            <w:tcW w:w="6900"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29AC43E8">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扬州市朝阳加油（气）站管理服务有限责任公司</w:t>
            </w:r>
            <w:r>
              <w:rPr>
                <w:rFonts w:hint="default" w:ascii="Times New Roman" w:hAnsi="Times New Roman" w:eastAsia="楷体_GB2312" w:cs="Times New Roman"/>
                <w:color w:val="000000"/>
                <w:kern w:val="0"/>
                <w:sz w:val="18"/>
                <w:szCs w:val="18"/>
              </w:rPr>
              <w:t> </w:t>
            </w:r>
          </w:p>
        </w:tc>
      </w:tr>
      <w:tr w14:paraId="479C3BF4">
        <w:tblPrEx>
          <w:tblCellMar>
            <w:top w:w="0" w:type="dxa"/>
            <w:left w:w="0" w:type="dxa"/>
            <w:bottom w:w="0" w:type="dxa"/>
            <w:right w:w="0" w:type="dxa"/>
          </w:tblCellMar>
        </w:tblPrEx>
        <w:trPr>
          <w:trHeight w:val="894" w:hRule="atLeast"/>
          <w:jc w:val="center"/>
        </w:trPr>
        <w:tc>
          <w:tcPr>
            <w:tcW w:w="1380" w:type="dxa"/>
            <w:tcBorders>
              <w:top w:val="nil"/>
              <w:left w:val="single" w:color="auto" w:sz="8" w:space="0"/>
              <w:bottom w:val="single" w:color="auto" w:sz="8" w:space="0"/>
              <w:right w:val="single" w:color="auto" w:sz="8" w:space="0"/>
            </w:tcBorders>
            <w:noWrap w:val="0"/>
            <w:vAlign w:val="center"/>
          </w:tcPr>
          <w:p w14:paraId="055BE8B8">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单位地址</w:t>
            </w:r>
          </w:p>
        </w:tc>
        <w:tc>
          <w:tcPr>
            <w:tcW w:w="4138" w:type="dxa"/>
            <w:gridSpan w:val="2"/>
            <w:tcBorders>
              <w:top w:val="nil"/>
              <w:left w:val="nil"/>
              <w:bottom w:val="single" w:color="auto" w:sz="8" w:space="0"/>
              <w:right w:val="single" w:color="auto" w:sz="8" w:space="0"/>
            </w:tcBorders>
            <w:noWrap w:val="0"/>
            <w:vAlign w:val="center"/>
          </w:tcPr>
          <w:p w14:paraId="2EC047B4">
            <w:pPr>
              <w:widowControl/>
              <w:jc w:val="left"/>
              <w:rPr>
                <w:rFonts w:hint="default" w:ascii="Times New Roman" w:hAnsi="Times New Roman" w:eastAsia="楷体_GB2312" w:cs="Times New Roman"/>
                <w:color w:val="000000"/>
                <w:kern w:val="0"/>
                <w:sz w:val="18"/>
                <w:szCs w:val="18"/>
                <w:lang w:val="en-US" w:eastAsia="zh-CN"/>
              </w:rPr>
            </w:pPr>
            <w:r>
              <w:rPr>
                <w:rFonts w:hint="default" w:ascii="Times New Roman" w:hAnsi="Times New Roman" w:eastAsia="楷体_GB2312" w:cs="Times New Roman"/>
                <w:color w:val="000000"/>
                <w:kern w:val="0"/>
                <w:sz w:val="18"/>
                <w:szCs w:val="18"/>
              </w:rPr>
              <w:t> </w:t>
            </w:r>
            <w:r>
              <w:rPr>
                <w:rFonts w:hint="eastAsia" w:eastAsia="楷体_GB2312" w:cs="Times New Roman"/>
                <w:color w:val="000000"/>
                <w:kern w:val="0"/>
                <w:sz w:val="18"/>
                <w:szCs w:val="18"/>
                <w:lang w:val="en-US" w:eastAsia="zh-CN"/>
              </w:rPr>
              <w:t>扬州运河西路160号</w:t>
            </w:r>
          </w:p>
        </w:tc>
        <w:tc>
          <w:tcPr>
            <w:tcW w:w="1380"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DDB031D">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单位性质</w:t>
            </w:r>
          </w:p>
        </w:tc>
        <w:tc>
          <w:tcPr>
            <w:tcW w:w="1382" w:type="dxa"/>
            <w:tcBorders>
              <w:top w:val="nil"/>
              <w:left w:val="nil"/>
              <w:bottom w:val="single" w:color="auto" w:sz="8" w:space="0"/>
              <w:right w:val="single" w:color="auto" w:sz="8" w:space="0"/>
            </w:tcBorders>
            <w:noWrap w:val="0"/>
            <w:tcMar>
              <w:top w:w="0" w:type="dxa"/>
              <w:left w:w="108" w:type="dxa"/>
              <w:bottom w:w="0" w:type="dxa"/>
              <w:right w:w="108" w:type="dxa"/>
            </w:tcMar>
            <w:vAlign w:val="top"/>
          </w:tcPr>
          <w:p w14:paraId="7F33AE4F">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其他</w:t>
            </w:r>
            <w:r>
              <w:rPr>
                <w:rFonts w:hint="default" w:ascii="Times New Roman" w:hAnsi="Times New Roman" w:eastAsia="楷体_GB2312" w:cs="Times New Roman"/>
                <w:color w:val="000000"/>
                <w:kern w:val="0"/>
                <w:sz w:val="18"/>
                <w:szCs w:val="18"/>
              </w:rPr>
              <w:t> </w:t>
            </w:r>
          </w:p>
        </w:tc>
      </w:tr>
      <w:tr w14:paraId="4E6E24D7">
        <w:tblPrEx>
          <w:tblCellMar>
            <w:top w:w="0" w:type="dxa"/>
            <w:left w:w="0" w:type="dxa"/>
            <w:bottom w:w="0" w:type="dxa"/>
            <w:right w:w="0" w:type="dxa"/>
          </w:tblCellMar>
        </w:tblPrEx>
        <w:trPr>
          <w:trHeight w:val="907" w:hRule="atLeast"/>
          <w:jc w:val="center"/>
        </w:trPr>
        <w:tc>
          <w:tcPr>
            <w:tcW w:w="138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AF94F5C">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联系人</w:t>
            </w:r>
          </w:p>
        </w:tc>
        <w:tc>
          <w:tcPr>
            <w:tcW w:w="271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964B61A">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赵扬</w:t>
            </w:r>
            <w:r>
              <w:rPr>
                <w:rFonts w:hint="default" w:ascii="Times New Roman" w:hAnsi="Times New Roman" w:eastAsia="楷体_GB2312" w:cs="Times New Roman"/>
                <w:color w:val="000000"/>
                <w:kern w:val="0"/>
                <w:sz w:val="18"/>
                <w:szCs w:val="18"/>
              </w:rPr>
              <w:t> </w:t>
            </w:r>
          </w:p>
        </w:tc>
        <w:tc>
          <w:tcPr>
            <w:tcW w:w="142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7C6E07D">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办公电话</w:t>
            </w:r>
          </w:p>
        </w:tc>
        <w:tc>
          <w:tcPr>
            <w:tcW w:w="2762"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B7788E0">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0514-87222208</w:t>
            </w:r>
            <w:r>
              <w:rPr>
                <w:rFonts w:hint="default" w:ascii="Times New Roman" w:hAnsi="Times New Roman" w:eastAsia="楷体_GB2312" w:cs="Times New Roman"/>
                <w:color w:val="000000"/>
                <w:kern w:val="0"/>
                <w:sz w:val="18"/>
                <w:szCs w:val="18"/>
              </w:rPr>
              <w:t> </w:t>
            </w:r>
          </w:p>
        </w:tc>
      </w:tr>
      <w:tr w14:paraId="79AA7F1B">
        <w:tblPrEx>
          <w:tblCellMar>
            <w:top w:w="0" w:type="dxa"/>
            <w:left w:w="0" w:type="dxa"/>
            <w:bottom w:w="0" w:type="dxa"/>
            <w:right w:w="0" w:type="dxa"/>
          </w:tblCellMar>
        </w:tblPrEx>
        <w:trPr>
          <w:trHeight w:val="732" w:hRule="atLeast"/>
          <w:jc w:val="center"/>
        </w:trPr>
        <w:tc>
          <w:tcPr>
            <w:tcW w:w="1380"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0A788C7">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手机</w:t>
            </w:r>
          </w:p>
        </w:tc>
        <w:tc>
          <w:tcPr>
            <w:tcW w:w="2717"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14314D7F">
            <w:pPr>
              <w:widowControl/>
              <w:jc w:val="center"/>
              <w:rPr>
                <w:rFonts w:hint="default" w:ascii="Times New Roman" w:hAnsi="Times New Roman" w:eastAsia="楷体_GB2312" w:cs="Times New Roman"/>
                <w:color w:val="000000"/>
                <w:kern w:val="0"/>
                <w:sz w:val="18"/>
                <w:szCs w:val="18"/>
              </w:rPr>
            </w:pPr>
            <w:r>
              <w:rPr>
                <w:rFonts w:hint="eastAsia" w:eastAsia="楷体_GB2312" w:cs="Times New Roman"/>
                <w:color w:val="000000"/>
                <w:kern w:val="0"/>
                <w:sz w:val="18"/>
                <w:szCs w:val="18"/>
                <w:lang w:val="en-US" w:eastAsia="zh-CN"/>
              </w:rPr>
              <w:t>13852577165</w:t>
            </w:r>
            <w:r>
              <w:rPr>
                <w:rFonts w:hint="default" w:ascii="Times New Roman" w:hAnsi="Times New Roman" w:eastAsia="楷体_GB2312" w:cs="Times New Roman"/>
                <w:color w:val="000000"/>
                <w:kern w:val="0"/>
                <w:sz w:val="18"/>
                <w:szCs w:val="18"/>
              </w:rPr>
              <w:t> </w:t>
            </w:r>
          </w:p>
        </w:tc>
        <w:tc>
          <w:tcPr>
            <w:tcW w:w="1421"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4722A61">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邮箱</w:t>
            </w:r>
          </w:p>
        </w:tc>
        <w:tc>
          <w:tcPr>
            <w:tcW w:w="2762"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820F989">
            <w:pPr>
              <w:widowControl/>
              <w:jc w:val="center"/>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18"/>
                <w:szCs w:val="18"/>
              </w:rPr>
              <w:t> </w:t>
            </w:r>
          </w:p>
        </w:tc>
      </w:tr>
      <w:tr w14:paraId="1A8BD967">
        <w:tblPrEx>
          <w:tblCellMar>
            <w:top w:w="0" w:type="dxa"/>
            <w:left w:w="0" w:type="dxa"/>
            <w:bottom w:w="0" w:type="dxa"/>
            <w:right w:w="0" w:type="dxa"/>
          </w:tblCellMar>
        </w:tblPrEx>
        <w:trPr>
          <w:trHeight w:val="2929" w:hRule="atLeast"/>
          <w:jc w:val="center"/>
        </w:trPr>
        <w:tc>
          <w:tcPr>
            <w:tcW w:w="8280" w:type="dxa"/>
            <w:gridSpan w:val="5"/>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top"/>
          </w:tcPr>
          <w:p w14:paraId="75DC28FB">
            <w:pPr>
              <w:widowControl/>
              <w:jc w:val="left"/>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单位简介：</w:t>
            </w:r>
          </w:p>
          <w:p w14:paraId="33113CD1">
            <w:pPr>
              <w:rPr>
                <w:rFonts w:hint="default" w:ascii="Times New Roman" w:hAnsi="Times New Roman" w:eastAsia="楷体_GB2312" w:cs="Times New Roman"/>
                <w:sz w:val="18"/>
                <w:szCs w:val="18"/>
              </w:rPr>
            </w:pPr>
          </w:p>
          <w:p w14:paraId="328EDB78">
            <w:pPr>
              <w:widowControl/>
              <w:jc w:val="left"/>
              <w:rPr>
                <w:rFonts w:hint="default" w:eastAsia="楷体_GB2312" w:cs="Times New Roman"/>
                <w:color w:val="000000"/>
                <w:kern w:val="0"/>
                <w:sz w:val="18"/>
                <w:szCs w:val="18"/>
                <w:lang w:val="en-US" w:eastAsia="zh-CN"/>
              </w:rPr>
            </w:pPr>
            <w:r>
              <w:rPr>
                <w:rFonts w:hint="eastAsia" w:eastAsia="楷体_GB2312" w:cs="Times New Roman"/>
                <w:color w:val="000000"/>
                <w:kern w:val="0"/>
                <w:sz w:val="18"/>
                <w:szCs w:val="18"/>
                <w:lang w:val="en-US" w:eastAsia="zh-CN"/>
              </w:rPr>
              <w:t>扬州市朝阳加油（气）站管理服务有限责任公司是中国石化江苏扬州石油分公司的合资联营企业，主要负责扬州石油分公司所属在营加能站、便利店、发卡充值网点、综合汽服等现场管理服务工作。目前扬州朝阳公司共管理60余座中石化加油站，分布在扬州市区、江都、仪征、宝应和高邮等地，在册员工600余人。因新建加油站，经营业务扩展和人员储备需要，招聘以下岗位。</w:t>
            </w:r>
          </w:p>
          <w:p w14:paraId="6C7AFFD4">
            <w:pPr>
              <w:rPr>
                <w:rFonts w:hint="default" w:ascii="Times New Roman" w:hAnsi="Times New Roman" w:eastAsia="楷体_GB2312" w:cs="Times New Roman"/>
                <w:sz w:val="18"/>
                <w:szCs w:val="18"/>
              </w:rPr>
            </w:pPr>
          </w:p>
          <w:p w14:paraId="6BEBCD4B">
            <w:pPr>
              <w:rPr>
                <w:rFonts w:hint="default" w:ascii="Times New Roman" w:hAnsi="Times New Roman" w:eastAsia="楷体_GB2312" w:cs="Times New Roman"/>
                <w:sz w:val="18"/>
                <w:szCs w:val="18"/>
              </w:rPr>
            </w:pPr>
          </w:p>
          <w:p w14:paraId="1F776C2B">
            <w:pPr>
              <w:rPr>
                <w:rFonts w:hint="default" w:ascii="Times New Roman" w:hAnsi="Times New Roman" w:eastAsia="楷体_GB2312" w:cs="Times New Roman"/>
                <w:sz w:val="18"/>
                <w:szCs w:val="18"/>
              </w:rPr>
            </w:pPr>
          </w:p>
        </w:tc>
      </w:tr>
      <w:tr w14:paraId="6EE77397">
        <w:tblPrEx>
          <w:tblCellMar>
            <w:top w:w="0" w:type="dxa"/>
            <w:left w:w="0" w:type="dxa"/>
            <w:bottom w:w="0" w:type="dxa"/>
            <w:right w:w="0" w:type="dxa"/>
          </w:tblCellMar>
        </w:tblPrEx>
        <w:trPr>
          <w:trHeight w:val="6928" w:hRule="atLeast"/>
          <w:jc w:val="center"/>
        </w:trPr>
        <w:tc>
          <w:tcPr>
            <w:tcW w:w="8280" w:type="dxa"/>
            <w:gridSpan w:val="5"/>
            <w:tcBorders>
              <w:top w:val="nil"/>
              <w:left w:val="single" w:color="auto" w:sz="8" w:space="0"/>
              <w:bottom w:val="single" w:color="auto" w:sz="4" w:space="0"/>
              <w:right w:val="single" w:color="auto" w:sz="8" w:space="0"/>
            </w:tcBorders>
            <w:noWrap w:val="0"/>
            <w:tcMar>
              <w:top w:w="0" w:type="dxa"/>
              <w:left w:w="108" w:type="dxa"/>
              <w:bottom w:w="0" w:type="dxa"/>
              <w:right w:w="108" w:type="dxa"/>
            </w:tcMar>
            <w:vAlign w:val="top"/>
          </w:tcPr>
          <w:p w14:paraId="28F6F2E3">
            <w:pPr>
              <w:widowControl/>
              <w:jc w:val="left"/>
              <w:rPr>
                <w:rFonts w:hint="default" w:ascii="Times New Roman" w:hAnsi="Times New Roman" w:eastAsia="楷体_GB2312" w:cs="Times New Roman"/>
                <w:color w:val="000000"/>
                <w:kern w:val="0"/>
                <w:sz w:val="18"/>
                <w:szCs w:val="18"/>
              </w:rPr>
            </w:pPr>
            <w:r>
              <w:rPr>
                <w:rFonts w:hint="default" w:ascii="Times New Roman" w:hAnsi="Times New Roman" w:eastAsia="楷体_GB2312" w:cs="Times New Roman"/>
                <w:color w:val="000000"/>
                <w:kern w:val="0"/>
                <w:sz w:val="24"/>
              </w:rPr>
              <w:t>招聘岗位、要求、人数及薪资待遇：</w:t>
            </w:r>
            <w:r>
              <w:rPr>
                <w:rFonts w:hint="default" w:ascii="Times New Roman" w:hAnsi="Times New Roman" w:eastAsia="楷体_GB2312" w:cs="Times New Roman"/>
                <w:b/>
                <w:kern w:val="0"/>
                <w:sz w:val="24"/>
              </w:rPr>
              <w:t>（请另附招聘简章！）</w:t>
            </w:r>
          </w:p>
          <w:p w14:paraId="3AAAA9ED">
            <w:pPr>
              <w:jc w:val="left"/>
              <w:rPr>
                <w:rFonts w:hint="eastAsia"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岗位名称：</w:t>
            </w:r>
            <w:r>
              <w:rPr>
                <w:rFonts w:hint="eastAsia" w:eastAsia="楷体_GB2312" w:cs="Times New Roman"/>
                <w:color w:val="000000"/>
                <w:kern w:val="0"/>
                <w:sz w:val="24"/>
                <w:lang w:val="en-US" w:eastAsia="zh-CN"/>
              </w:rPr>
              <w:t>洗美技师岗</w:t>
            </w:r>
          </w:p>
          <w:p w14:paraId="588AF5A2">
            <w:pPr>
              <w:jc w:val="left"/>
              <w:rPr>
                <w:rFonts w:hint="default"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岗位要求：</w:t>
            </w:r>
          </w:p>
          <w:p w14:paraId="7D713483">
            <w:pPr>
              <w:jc w:val="left"/>
              <w:rPr>
                <w:rFonts w:hint="eastAsia"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1、身体健康，品格端正，无不良嗜好，有良好的职业道德，爱岗敬业。</w:t>
            </w:r>
          </w:p>
          <w:p w14:paraId="630D9C43">
            <w:pPr>
              <w:jc w:val="left"/>
              <w:rPr>
                <w:rFonts w:hint="eastAsia"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2、较强的市场营销能力与沟通协调能力，擅长拓展客户维系，较好的计划管理能力、组织协调及执行力；</w:t>
            </w:r>
          </w:p>
          <w:p w14:paraId="1747C3B9">
            <w:pPr>
              <w:jc w:val="left"/>
              <w:rPr>
                <w:rFonts w:hint="eastAsia"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3.具有较强的执行能力及突发事件处理能力。</w:t>
            </w:r>
          </w:p>
          <w:p w14:paraId="5B543760">
            <w:pPr>
              <w:jc w:val="left"/>
              <w:rPr>
                <w:rFonts w:hint="eastAsia"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4、责任心强，吃苦耐劳，服务公司安排。</w:t>
            </w:r>
          </w:p>
          <w:p w14:paraId="5E3AAC4D">
            <w:pPr>
              <w:jc w:val="left"/>
              <w:rPr>
                <w:rFonts w:hint="eastAsia" w:ascii="Times New Roman" w:hAnsi="Times New Roman" w:eastAsia="楷体_GB2312" w:cs="Times New Roman"/>
                <w:color w:val="000000"/>
                <w:kern w:val="0"/>
                <w:sz w:val="24"/>
                <w:lang w:val="en-US" w:eastAsia="zh-CN"/>
              </w:rPr>
            </w:pPr>
          </w:p>
          <w:p w14:paraId="5B120E76">
            <w:pPr>
              <w:ind w:firstLine="720" w:firstLineChars="300"/>
              <w:jc w:val="left"/>
              <w:rPr>
                <w:rFonts w:hint="eastAsia"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汽车相关专业，取得汽车维修技师资格证的优先录取</w:t>
            </w:r>
            <w:r>
              <w:rPr>
                <w:rFonts w:hint="eastAsia" w:eastAsia="楷体_GB2312" w:cs="Times New Roman"/>
                <w:color w:val="000000"/>
                <w:kern w:val="0"/>
                <w:sz w:val="24"/>
                <w:lang w:val="en-US" w:eastAsia="zh-CN"/>
              </w:rPr>
              <w:t>。</w:t>
            </w:r>
          </w:p>
          <w:p w14:paraId="52A3C5A9">
            <w:pPr>
              <w:ind w:firstLine="720" w:firstLineChars="300"/>
              <w:jc w:val="left"/>
              <w:rPr>
                <w:rFonts w:hint="eastAsia" w:eastAsia="楷体_GB2312" w:cs="Times New Roman"/>
                <w:color w:val="000000"/>
                <w:kern w:val="0"/>
                <w:sz w:val="24"/>
                <w:lang w:val="en-US" w:eastAsia="zh-CN"/>
              </w:rPr>
            </w:pPr>
          </w:p>
          <w:p w14:paraId="41203BE2">
            <w:pPr>
              <w:jc w:val="left"/>
              <w:rPr>
                <w:rFonts w:hint="eastAsia"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薪资：</w:t>
            </w:r>
          </w:p>
          <w:p w14:paraId="2CA657B6">
            <w:pPr>
              <w:numPr>
                <w:ilvl w:val="0"/>
                <w:numId w:val="1"/>
              </w:numPr>
              <w:jc w:val="left"/>
              <w:rPr>
                <w:rFonts w:hint="eastAsia"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薪酬全额与绩效挂钩，实习期间绩效兑现标准为正常标准的80%，全勤情况下月度薪酬不低于4000元。</w:t>
            </w:r>
          </w:p>
          <w:p w14:paraId="282A7D92">
            <w:pPr>
              <w:numPr>
                <w:ilvl w:val="0"/>
                <w:numId w:val="1"/>
              </w:numPr>
              <w:jc w:val="left"/>
              <w:rPr>
                <w:rFonts w:hint="default" w:ascii="Times New Roman" w:hAnsi="Times New Roman" w:eastAsia="楷体_GB2312" w:cs="Times New Roman"/>
                <w:color w:val="000000"/>
                <w:kern w:val="0"/>
                <w:sz w:val="24"/>
                <w:lang w:val="en-US" w:eastAsia="zh-CN"/>
              </w:rPr>
            </w:pPr>
            <w:r>
              <w:rPr>
                <w:rFonts w:hint="eastAsia" w:ascii="Times New Roman" w:hAnsi="Times New Roman" w:eastAsia="楷体_GB2312" w:cs="Times New Roman"/>
                <w:color w:val="000000"/>
                <w:kern w:val="0"/>
                <w:sz w:val="24"/>
                <w:lang w:val="en-US" w:eastAsia="zh-CN"/>
              </w:rPr>
              <w:t>就业实习连续超过1个月的，按每月300元标准（</w:t>
            </w:r>
            <w:bookmarkStart w:id="0" w:name="_GoBack"/>
            <w:bookmarkEnd w:id="0"/>
            <w:r>
              <w:rPr>
                <w:rFonts w:hint="eastAsia" w:ascii="Times New Roman" w:hAnsi="Times New Roman" w:eastAsia="楷体_GB2312" w:cs="Times New Roman"/>
                <w:color w:val="000000"/>
                <w:kern w:val="0"/>
                <w:sz w:val="24"/>
                <w:lang w:val="en-US" w:eastAsia="zh-CN"/>
              </w:rPr>
              <w:t>满勤）发放餐补福利。</w:t>
            </w:r>
          </w:p>
        </w:tc>
      </w:tr>
    </w:tbl>
    <w:p w14:paraId="660954A8">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新宋体" w:hAnsi="新宋体" w:eastAsia="新宋体" w:cs="新宋体"/>
          <w:b/>
          <w:sz w:val="44"/>
          <w:szCs w:val="44"/>
          <w:lang w:val="en-US" w:eastAsia="zh-CN"/>
        </w:rPr>
      </w:pPr>
      <w:r>
        <w:rPr>
          <w:rFonts w:hint="eastAsia" w:ascii="新宋体" w:hAnsi="新宋体" w:eastAsia="新宋体" w:cs="新宋体"/>
          <w:b/>
          <w:sz w:val="44"/>
          <w:szCs w:val="44"/>
          <w:lang w:val="en-US" w:eastAsia="zh-CN"/>
        </w:rPr>
        <w:t>招 聘 简 章</w:t>
      </w:r>
    </w:p>
    <w:p w14:paraId="450BB2A4">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b/>
          <w:sz w:val="44"/>
          <w:szCs w:val="44"/>
          <w:lang w:val="en-US" w:eastAsia="zh-CN"/>
        </w:rPr>
      </w:pPr>
    </w:p>
    <w:p w14:paraId="0B3BCF52">
      <w:pPr>
        <w:keepNext w:val="0"/>
        <w:keepLines w:val="0"/>
        <w:pageBreakBefore w:val="0"/>
        <w:kinsoku/>
        <w:wordWrap/>
        <w:overflowPunct/>
        <w:topLinePunct w:val="0"/>
        <w:autoSpaceDE/>
        <w:autoSpaceDN/>
        <w:bidi w:val="0"/>
        <w:adjustRightInd/>
        <w:snapToGrid/>
        <w:spacing w:line="440" w:lineRule="exact"/>
        <w:textAlignment w:val="auto"/>
        <w:rPr>
          <w:rFonts w:hint="default" w:ascii="新宋体" w:hAnsi="新宋体" w:eastAsia="新宋体" w:cs="新宋体"/>
          <w:b/>
          <w:sz w:val="44"/>
          <w:szCs w:val="44"/>
          <w:lang w:val="en-US" w:eastAsia="zh-CN"/>
        </w:rPr>
      </w:pPr>
    </w:p>
    <w:p w14:paraId="1FC60E71">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b/>
          <w:bCs/>
          <w:sz w:val="28"/>
          <w:szCs w:val="28"/>
          <w:lang w:val="en-US" w:eastAsia="zh-CN"/>
        </w:rPr>
      </w:pPr>
      <w:r>
        <w:rPr>
          <w:rFonts w:hint="eastAsia" w:ascii="新宋体" w:hAnsi="新宋体" w:eastAsia="新宋体" w:cs="新宋体"/>
          <w:b/>
          <w:bCs/>
          <w:sz w:val="28"/>
          <w:szCs w:val="28"/>
          <w:lang w:val="en-US" w:eastAsia="zh-CN"/>
        </w:rPr>
        <w:t>企业简介：</w:t>
      </w:r>
    </w:p>
    <w:p w14:paraId="2793E66F">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新宋体" w:hAnsi="新宋体" w:eastAsia="新宋体" w:cs="新宋体"/>
          <w:b/>
          <w:bCs/>
          <w:sz w:val="28"/>
          <w:szCs w:val="28"/>
          <w:lang w:val="en-US" w:eastAsia="zh-CN"/>
        </w:rPr>
      </w:pPr>
      <w:r>
        <w:rPr>
          <w:rFonts w:hint="eastAsia" w:ascii="新宋体" w:hAnsi="新宋体" w:eastAsia="新宋体" w:cs="新宋体"/>
          <w:sz w:val="28"/>
          <w:szCs w:val="28"/>
        </w:rPr>
        <w:t>扬州市朝阳加油（气）站管理服务有限责任公司是中国石化江苏扬州石油分公司的合资联营企业，主要负责扬州石油分公司所属在营加</w:t>
      </w:r>
      <w:r>
        <w:rPr>
          <w:rFonts w:hint="eastAsia" w:ascii="新宋体" w:hAnsi="新宋体" w:eastAsia="新宋体" w:cs="新宋体"/>
          <w:sz w:val="28"/>
          <w:szCs w:val="28"/>
          <w:lang w:val="en-US" w:eastAsia="zh-CN"/>
        </w:rPr>
        <w:t>能</w:t>
      </w:r>
      <w:r>
        <w:rPr>
          <w:rFonts w:hint="eastAsia" w:ascii="新宋体" w:hAnsi="新宋体" w:eastAsia="新宋体" w:cs="新宋体"/>
          <w:sz w:val="28"/>
          <w:szCs w:val="28"/>
        </w:rPr>
        <w:t>站、便利店、发卡充值网点</w:t>
      </w:r>
      <w:r>
        <w:rPr>
          <w:rFonts w:hint="eastAsia" w:ascii="新宋体" w:hAnsi="新宋体" w:eastAsia="新宋体" w:cs="新宋体"/>
          <w:sz w:val="28"/>
          <w:szCs w:val="28"/>
          <w:lang w:eastAsia="zh-CN"/>
        </w:rPr>
        <w:t>、</w:t>
      </w:r>
      <w:r>
        <w:rPr>
          <w:rFonts w:hint="eastAsia" w:ascii="新宋体" w:hAnsi="新宋体" w:eastAsia="新宋体" w:cs="新宋体"/>
          <w:sz w:val="28"/>
          <w:szCs w:val="28"/>
          <w:lang w:val="en-US" w:eastAsia="zh-CN"/>
        </w:rPr>
        <w:t>综合汽服等</w:t>
      </w:r>
      <w:r>
        <w:rPr>
          <w:rFonts w:hint="eastAsia" w:ascii="新宋体" w:hAnsi="新宋体" w:eastAsia="新宋体" w:cs="新宋体"/>
          <w:sz w:val="28"/>
          <w:szCs w:val="28"/>
        </w:rPr>
        <w:t>现场管理服务工作。</w:t>
      </w:r>
      <w:r>
        <w:rPr>
          <w:rFonts w:hint="eastAsia" w:ascii="新宋体" w:hAnsi="新宋体" w:eastAsia="新宋体" w:cs="新宋体"/>
          <w:sz w:val="28"/>
          <w:szCs w:val="28"/>
          <w:lang w:val="en-US" w:eastAsia="zh-CN"/>
        </w:rPr>
        <w:t>目前</w:t>
      </w:r>
      <w:r>
        <w:rPr>
          <w:rFonts w:hint="eastAsia" w:ascii="新宋体" w:hAnsi="新宋体" w:eastAsia="新宋体" w:cs="新宋体"/>
          <w:sz w:val="28"/>
          <w:szCs w:val="28"/>
        </w:rPr>
        <w:t>扬州朝阳公司共管理60余座中石化加油站，</w:t>
      </w:r>
      <w:r>
        <w:rPr>
          <w:rFonts w:hint="eastAsia" w:ascii="新宋体" w:hAnsi="新宋体" w:eastAsia="新宋体" w:cs="新宋体"/>
          <w:sz w:val="28"/>
          <w:szCs w:val="28"/>
          <w:lang w:val="en-US" w:eastAsia="zh-CN"/>
        </w:rPr>
        <w:t>分布在扬州市区、江都、仪征、宝应和高邮等地，</w:t>
      </w:r>
      <w:r>
        <w:rPr>
          <w:rFonts w:hint="eastAsia" w:ascii="新宋体" w:hAnsi="新宋体" w:eastAsia="新宋体" w:cs="新宋体"/>
          <w:sz w:val="28"/>
          <w:szCs w:val="28"/>
        </w:rPr>
        <w:t>在册员工600余人。</w:t>
      </w:r>
      <w:r>
        <w:rPr>
          <w:rFonts w:hint="eastAsia" w:ascii="新宋体" w:hAnsi="新宋体" w:eastAsia="新宋体" w:cs="新宋体"/>
          <w:sz w:val="28"/>
          <w:szCs w:val="28"/>
          <w:lang w:val="en-US" w:eastAsia="zh-CN"/>
        </w:rPr>
        <w:t>因新建加油站，经营业务扩展和人员储备需要，招聘以下岗位。</w:t>
      </w:r>
    </w:p>
    <w:p w14:paraId="1537E9A0">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b/>
          <w:bCs/>
          <w:sz w:val="28"/>
          <w:szCs w:val="28"/>
          <w:lang w:val="en-US" w:eastAsia="zh-CN"/>
        </w:rPr>
      </w:pPr>
    </w:p>
    <w:p w14:paraId="3E1E687E">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b/>
          <w:bCs/>
          <w:sz w:val="28"/>
          <w:szCs w:val="28"/>
          <w:lang w:val="en-US" w:eastAsia="zh-CN"/>
        </w:rPr>
      </w:pPr>
      <w:r>
        <w:rPr>
          <w:rFonts w:hint="eastAsia" w:ascii="新宋体" w:hAnsi="新宋体" w:eastAsia="新宋体" w:cs="新宋体"/>
          <w:b/>
          <w:bCs/>
          <w:sz w:val="28"/>
          <w:szCs w:val="28"/>
          <w:lang w:val="en-US" w:eastAsia="zh-CN"/>
        </w:rPr>
        <w:t>技师学院专场实习岗位：</w:t>
      </w:r>
    </w:p>
    <w:p w14:paraId="5648871E">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b/>
          <w:bCs/>
          <w:sz w:val="28"/>
          <w:szCs w:val="28"/>
          <w:lang w:val="en-US" w:eastAsia="zh-CN"/>
        </w:rPr>
      </w:pPr>
    </w:p>
    <w:p w14:paraId="4902F876">
      <w:pPr>
        <w:keepNext w:val="0"/>
        <w:keepLines w:val="0"/>
        <w:pageBreakBefore w:val="0"/>
        <w:numPr>
          <w:ilvl w:val="0"/>
          <w:numId w:val="2"/>
        </w:numPr>
        <w:kinsoku/>
        <w:wordWrap/>
        <w:overflowPunct/>
        <w:topLinePunct w:val="0"/>
        <w:autoSpaceDE/>
        <w:autoSpaceDN/>
        <w:bidi w:val="0"/>
        <w:adjustRightInd/>
        <w:snapToGrid/>
        <w:spacing w:line="440" w:lineRule="exact"/>
        <w:textAlignment w:val="auto"/>
        <w:rPr>
          <w:rFonts w:hint="eastAsia" w:ascii="新宋体" w:hAnsi="新宋体" w:eastAsia="新宋体" w:cs="新宋体"/>
          <w:b/>
          <w:bCs/>
          <w:sz w:val="28"/>
          <w:szCs w:val="28"/>
          <w:lang w:val="en-US" w:eastAsia="zh-CN"/>
        </w:rPr>
      </w:pPr>
      <w:r>
        <w:rPr>
          <w:rFonts w:hint="eastAsia" w:ascii="新宋体" w:hAnsi="新宋体" w:eastAsia="新宋体" w:cs="新宋体"/>
          <w:b/>
          <w:bCs/>
          <w:sz w:val="28"/>
          <w:szCs w:val="28"/>
          <w:lang w:val="en-US" w:eastAsia="zh-CN"/>
        </w:rPr>
        <w:t>汽服岗位  若干</w:t>
      </w:r>
    </w:p>
    <w:p w14:paraId="6EB1423F">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both"/>
        <w:textAlignment w:val="auto"/>
        <w:rPr>
          <w:rFonts w:hint="eastAsia" w:ascii="新宋体" w:hAnsi="新宋体" w:eastAsia="新宋体" w:cs="新宋体"/>
          <w:b/>
          <w:bCs/>
          <w:sz w:val="28"/>
          <w:szCs w:val="28"/>
          <w:lang w:val="en-US" w:eastAsia="zh-CN"/>
        </w:rPr>
      </w:pPr>
    </w:p>
    <w:p w14:paraId="5A5B557F">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sz w:val="28"/>
          <w:szCs w:val="28"/>
        </w:rPr>
      </w:pPr>
    </w:p>
    <w:p w14:paraId="5EAE053C">
      <w:pPr>
        <w:keepNext w:val="0"/>
        <w:keepLines w:val="0"/>
        <w:pageBreakBefore w:val="0"/>
        <w:kinsoku/>
        <w:wordWrap/>
        <w:overflowPunct/>
        <w:topLinePunct w:val="0"/>
        <w:autoSpaceDE/>
        <w:autoSpaceDN/>
        <w:bidi w:val="0"/>
        <w:adjustRightInd/>
        <w:snapToGrid/>
        <w:spacing w:line="440" w:lineRule="exact"/>
        <w:ind w:firstLine="562" w:firstLineChars="200"/>
        <w:textAlignment w:val="auto"/>
        <w:rPr>
          <w:rFonts w:hint="eastAsia" w:ascii="新宋体" w:hAnsi="新宋体" w:eastAsia="新宋体" w:cs="新宋体"/>
          <w:b/>
          <w:bCs/>
          <w:sz w:val="28"/>
          <w:szCs w:val="28"/>
        </w:rPr>
      </w:pPr>
      <w:r>
        <w:rPr>
          <w:rFonts w:hint="eastAsia" w:ascii="新宋体" w:hAnsi="新宋体" w:eastAsia="新宋体" w:cs="新宋体"/>
          <w:b/>
          <w:bCs/>
          <w:sz w:val="28"/>
          <w:szCs w:val="28"/>
        </w:rPr>
        <w:t>能力素质</w:t>
      </w:r>
      <w:r>
        <w:rPr>
          <w:rFonts w:hint="eastAsia" w:ascii="新宋体" w:hAnsi="新宋体" w:eastAsia="新宋体" w:cs="新宋体"/>
          <w:b/>
          <w:bCs/>
          <w:sz w:val="28"/>
          <w:szCs w:val="28"/>
          <w:lang w:val="en-US" w:eastAsia="zh-CN"/>
        </w:rPr>
        <w:t>要求</w:t>
      </w:r>
      <w:r>
        <w:rPr>
          <w:rFonts w:hint="eastAsia" w:ascii="新宋体" w:hAnsi="新宋体" w:eastAsia="新宋体" w:cs="新宋体"/>
          <w:b/>
          <w:bCs/>
          <w:sz w:val="28"/>
          <w:szCs w:val="28"/>
        </w:rPr>
        <w:t>：</w:t>
      </w:r>
    </w:p>
    <w:p w14:paraId="07AB18D1">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sz w:val="28"/>
          <w:szCs w:val="28"/>
        </w:rPr>
      </w:pPr>
      <w:r>
        <w:rPr>
          <w:rFonts w:hint="eastAsia" w:ascii="新宋体" w:hAnsi="新宋体" w:eastAsia="新宋体" w:cs="新宋体"/>
          <w:sz w:val="28"/>
          <w:szCs w:val="28"/>
          <w:lang w:val="en-US" w:eastAsia="zh-CN"/>
        </w:rPr>
        <w:t>1、</w:t>
      </w:r>
      <w:r>
        <w:rPr>
          <w:rFonts w:hint="eastAsia" w:ascii="新宋体" w:hAnsi="新宋体" w:eastAsia="新宋体" w:cs="新宋体"/>
          <w:sz w:val="28"/>
          <w:szCs w:val="28"/>
        </w:rPr>
        <w:t>身体健康，品格端正，无不良嗜好，有良好的职业道德，爱岗敬业。</w:t>
      </w:r>
    </w:p>
    <w:p w14:paraId="458556B4">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sz w:val="28"/>
          <w:szCs w:val="28"/>
        </w:rPr>
      </w:pPr>
      <w:r>
        <w:rPr>
          <w:rFonts w:hint="eastAsia" w:ascii="新宋体" w:hAnsi="新宋体" w:eastAsia="新宋体" w:cs="新宋体"/>
          <w:sz w:val="28"/>
          <w:szCs w:val="28"/>
          <w:lang w:val="en-US" w:eastAsia="zh-CN"/>
        </w:rPr>
        <w:t>2、</w:t>
      </w:r>
      <w:r>
        <w:rPr>
          <w:rFonts w:hint="eastAsia" w:ascii="新宋体" w:hAnsi="新宋体" w:eastAsia="新宋体" w:cs="新宋体"/>
          <w:sz w:val="28"/>
          <w:szCs w:val="28"/>
        </w:rPr>
        <w:t>较强的市场营销能力与沟通协调能力，擅长拓</w:t>
      </w:r>
      <w:r>
        <w:rPr>
          <w:rFonts w:hint="eastAsia" w:ascii="新宋体" w:hAnsi="新宋体" w:eastAsia="新宋体" w:cs="新宋体"/>
          <w:sz w:val="28"/>
          <w:szCs w:val="28"/>
          <w:lang w:val="en-US" w:eastAsia="zh-CN"/>
        </w:rPr>
        <w:t>展</w:t>
      </w:r>
      <w:r>
        <w:rPr>
          <w:rFonts w:hint="eastAsia" w:ascii="新宋体" w:hAnsi="新宋体" w:eastAsia="新宋体" w:cs="新宋体"/>
          <w:sz w:val="28"/>
          <w:szCs w:val="28"/>
        </w:rPr>
        <w:t>客户维系，较好的计划管理能力、组织协调及执行力；</w:t>
      </w:r>
    </w:p>
    <w:p w14:paraId="364A69DE">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sz w:val="28"/>
          <w:szCs w:val="28"/>
        </w:rPr>
      </w:pPr>
      <w:r>
        <w:rPr>
          <w:rFonts w:hint="eastAsia" w:ascii="新宋体" w:hAnsi="新宋体" w:eastAsia="新宋体" w:cs="新宋体"/>
          <w:sz w:val="28"/>
          <w:szCs w:val="28"/>
        </w:rPr>
        <w:t>3.具有较强的执行能力及突发事件处理能力。</w:t>
      </w:r>
    </w:p>
    <w:p w14:paraId="63422113">
      <w:pPr>
        <w:keepNext w:val="0"/>
        <w:keepLines w:val="0"/>
        <w:pageBreakBefore w:val="0"/>
        <w:kinsoku/>
        <w:wordWrap/>
        <w:overflowPunct/>
        <w:topLinePunct w:val="0"/>
        <w:autoSpaceDE/>
        <w:autoSpaceDN/>
        <w:bidi w:val="0"/>
        <w:adjustRightInd/>
        <w:snapToGrid/>
        <w:spacing w:line="440" w:lineRule="exact"/>
        <w:textAlignment w:val="auto"/>
        <w:rPr>
          <w:rFonts w:hint="eastAsia" w:ascii="新宋体" w:hAnsi="新宋体" w:eastAsia="新宋体" w:cs="新宋体"/>
          <w:sz w:val="28"/>
          <w:szCs w:val="28"/>
        </w:rPr>
      </w:pPr>
      <w:r>
        <w:rPr>
          <w:rFonts w:hint="eastAsia" w:ascii="新宋体" w:hAnsi="新宋体" w:eastAsia="新宋体" w:cs="新宋体"/>
          <w:sz w:val="28"/>
          <w:szCs w:val="28"/>
          <w:lang w:val="en-US" w:eastAsia="zh-CN"/>
        </w:rPr>
        <w:t>4、</w:t>
      </w:r>
      <w:r>
        <w:rPr>
          <w:rFonts w:hint="eastAsia" w:ascii="新宋体" w:hAnsi="新宋体" w:eastAsia="新宋体" w:cs="新宋体"/>
          <w:sz w:val="28"/>
          <w:szCs w:val="28"/>
        </w:rPr>
        <w:t>责任心强，吃苦耐劳，服务公司安排。</w:t>
      </w:r>
    </w:p>
    <w:p w14:paraId="5A05EDC5">
      <w:pPr>
        <w:keepNext w:val="0"/>
        <w:keepLines w:val="0"/>
        <w:pageBreakBefore w:val="0"/>
        <w:numPr>
          <w:ilvl w:val="0"/>
          <w:numId w:val="0"/>
        </w:numPr>
        <w:kinsoku/>
        <w:wordWrap/>
        <w:overflowPunct/>
        <w:topLinePunct w:val="0"/>
        <w:autoSpaceDE/>
        <w:autoSpaceDN/>
        <w:bidi w:val="0"/>
        <w:adjustRightInd/>
        <w:snapToGrid/>
        <w:spacing w:line="440" w:lineRule="exact"/>
        <w:textAlignment w:val="auto"/>
        <w:rPr>
          <w:rFonts w:hint="eastAsia" w:ascii="新宋体" w:hAnsi="新宋体" w:eastAsia="新宋体" w:cs="新宋体"/>
          <w:sz w:val="28"/>
          <w:szCs w:val="28"/>
          <w:lang w:val="en-US" w:eastAsia="zh-CN"/>
        </w:rPr>
      </w:pPr>
    </w:p>
    <w:p w14:paraId="78CCBE33">
      <w:pPr>
        <w:keepNext w:val="0"/>
        <w:keepLines w:val="0"/>
        <w:pageBreakBefore w:val="0"/>
        <w:numPr>
          <w:ilvl w:val="0"/>
          <w:numId w:val="0"/>
        </w:numPr>
        <w:kinsoku/>
        <w:wordWrap/>
        <w:overflowPunct/>
        <w:topLinePunct w:val="0"/>
        <w:autoSpaceDE/>
        <w:autoSpaceDN/>
        <w:bidi w:val="0"/>
        <w:adjustRightInd/>
        <w:snapToGrid/>
        <w:spacing w:line="440" w:lineRule="exact"/>
        <w:ind w:firstLine="280" w:firstLineChars="100"/>
        <w:textAlignment w:val="auto"/>
        <w:rPr>
          <w:rFonts w:hint="eastAsia" w:ascii="新宋体" w:hAnsi="新宋体" w:eastAsia="新宋体" w:cs="新宋体"/>
          <w:sz w:val="28"/>
          <w:szCs w:val="28"/>
          <w:lang w:val="en-US" w:eastAsia="zh-CN"/>
        </w:rPr>
      </w:pPr>
      <w:r>
        <w:rPr>
          <w:rFonts w:hint="eastAsia" w:ascii="新宋体" w:hAnsi="新宋体" w:eastAsia="新宋体" w:cs="新宋体"/>
          <w:sz w:val="28"/>
          <w:szCs w:val="28"/>
          <w:lang w:val="en-US" w:eastAsia="zh-CN"/>
        </w:rPr>
        <w:t>汽车相关专业，取得汽车维修技师资格证的优先录取。</w:t>
      </w:r>
    </w:p>
    <w:p w14:paraId="5DBE84A2">
      <w:pPr>
        <w:pStyle w:val="5"/>
        <w:rPr>
          <w:rFonts w:hint="default" w:ascii="Times New Roman" w:hAnsi="Times New Roman" w:eastAsia="楷体" w:cs="Times New Roman"/>
          <w:b/>
          <w:bCs/>
          <w:color w:val="000000"/>
          <w:kern w:val="0"/>
          <w:sz w:val="28"/>
          <w:szCs w:val="28"/>
          <w:lang w:val="en-US" w:eastAsia="zh-CN"/>
        </w:rPr>
      </w:pPr>
    </w:p>
    <w:sectPr>
      <w:pgSz w:w="11906" w:h="16838"/>
      <w:pgMar w:top="1077" w:right="1531" w:bottom="107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44CA8"/>
    <w:multiLevelType w:val="singleLevel"/>
    <w:tmpl w:val="88A44CA8"/>
    <w:lvl w:ilvl="0" w:tentative="0">
      <w:start w:val="1"/>
      <w:numFmt w:val="decimal"/>
      <w:suff w:val="nothing"/>
      <w:lvlText w:val="%1、"/>
      <w:lvlJc w:val="left"/>
    </w:lvl>
  </w:abstractNum>
  <w:abstractNum w:abstractNumId="1">
    <w:nsid w:val="CAAF1F68"/>
    <w:multiLevelType w:val="singleLevel"/>
    <w:tmpl w:val="CAAF1F6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NmI1ZjM3YjgxNjI2YzVjMDc4Nzc5M2I4ZDRhNzQifQ=="/>
  </w:docVars>
  <w:rsids>
    <w:rsidRoot w:val="00BF3108"/>
    <w:rsid w:val="000025E1"/>
    <w:rsid w:val="000411F1"/>
    <w:rsid w:val="00046E2D"/>
    <w:rsid w:val="00054C37"/>
    <w:rsid w:val="00057787"/>
    <w:rsid w:val="00057A51"/>
    <w:rsid w:val="00067FB5"/>
    <w:rsid w:val="00075D1A"/>
    <w:rsid w:val="00087127"/>
    <w:rsid w:val="0009354E"/>
    <w:rsid w:val="000A6E95"/>
    <w:rsid w:val="000D6410"/>
    <w:rsid w:val="00101BA7"/>
    <w:rsid w:val="0012495D"/>
    <w:rsid w:val="00157864"/>
    <w:rsid w:val="00166550"/>
    <w:rsid w:val="00171E19"/>
    <w:rsid w:val="001773BC"/>
    <w:rsid w:val="001B0E72"/>
    <w:rsid w:val="001B6E89"/>
    <w:rsid w:val="001B7333"/>
    <w:rsid w:val="00204538"/>
    <w:rsid w:val="00225D43"/>
    <w:rsid w:val="00251674"/>
    <w:rsid w:val="002679E2"/>
    <w:rsid w:val="00280EDA"/>
    <w:rsid w:val="002938E1"/>
    <w:rsid w:val="002B37F5"/>
    <w:rsid w:val="002C6ACA"/>
    <w:rsid w:val="002D5B22"/>
    <w:rsid w:val="002E734B"/>
    <w:rsid w:val="002F2C60"/>
    <w:rsid w:val="00300E96"/>
    <w:rsid w:val="00347A2E"/>
    <w:rsid w:val="00354A4F"/>
    <w:rsid w:val="003710A4"/>
    <w:rsid w:val="00390CE3"/>
    <w:rsid w:val="00394793"/>
    <w:rsid w:val="00394DD9"/>
    <w:rsid w:val="003F60EC"/>
    <w:rsid w:val="004018B0"/>
    <w:rsid w:val="00430FAD"/>
    <w:rsid w:val="00432BA8"/>
    <w:rsid w:val="004513FB"/>
    <w:rsid w:val="00455D75"/>
    <w:rsid w:val="00456D11"/>
    <w:rsid w:val="00457294"/>
    <w:rsid w:val="004C2FF1"/>
    <w:rsid w:val="004D51C6"/>
    <w:rsid w:val="004D6A04"/>
    <w:rsid w:val="005033C8"/>
    <w:rsid w:val="005054CC"/>
    <w:rsid w:val="005078CD"/>
    <w:rsid w:val="005202D6"/>
    <w:rsid w:val="00521B9B"/>
    <w:rsid w:val="00535A2B"/>
    <w:rsid w:val="00540EA7"/>
    <w:rsid w:val="00543E34"/>
    <w:rsid w:val="00553BD3"/>
    <w:rsid w:val="00554077"/>
    <w:rsid w:val="00583C48"/>
    <w:rsid w:val="00593F37"/>
    <w:rsid w:val="005E2F7E"/>
    <w:rsid w:val="005E4A0A"/>
    <w:rsid w:val="00600672"/>
    <w:rsid w:val="006337B9"/>
    <w:rsid w:val="00634B3E"/>
    <w:rsid w:val="00635FFA"/>
    <w:rsid w:val="00640DF0"/>
    <w:rsid w:val="00642E0E"/>
    <w:rsid w:val="0064756C"/>
    <w:rsid w:val="00651F7D"/>
    <w:rsid w:val="00665AD6"/>
    <w:rsid w:val="00665C40"/>
    <w:rsid w:val="00685E64"/>
    <w:rsid w:val="006A3D8C"/>
    <w:rsid w:val="006E2EC7"/>
    <w:rsid w:val="006F2A09"/>
    <w:rsid w:val="00701220"/>
    <w:rsid w:val="0071568F"/>
    <w:rsid w:val="0072167C"/>
    <w:rsid w:val="00722A3D"/>
    <w:rsid w:val="00730500"/>
    <w:rsid w:val="00746D3F"/>
    <w:rsid w:val="00766407"/>
    <w:rsid w:val="007670A4"/>
    <w:rsid w:val="00772FC8"/>
    <w:rsid w:val="00775F49"/>
    <w:rsid w:val="00783BA2"/>
    <w:rsid w:val="00784383"/>
    <w:rsid w:val="00795369"/>
    <w:rsid w:val="007B7FBA"/>
    <w:rsid w:val="007C7E84"/>
    <w:rsid w:val="007D2853"/>
    <w:rsid w:val="007F5066"/>
    <w:rsid w:val="00801714"/>
    <w:rsid w:val="00812D92"/>
    <w:rsid w:val="00852719"/>
    <w:rsid w:val="00881190"/>
    <w:rsid w:val="00883C43"/>
    <w:rsid w:val="008943C4"/>
    <w:rsid w:val="00897670"/>
    <w:rsid w:val="008B7B45"/>
    <w:rsid w:val="008C0DFC"/>
    <w:rsid w:val="008D5849"/>
    <w:rsid w:val="008E11A8"/>
    <w:rsid w:val="008E6F24"/>
    <w:rsid w:val="008F2E8A"/>
    <w:rsid w:val="00906552"/>
    <w:rsid w:val="00907B60"/>
    <w:rsid w:val="00917425"/>
    <w:rsid w:val="00920C2B"/>
    <w:rsid w:val="00933B50"/>
    <w:rsid w:val="009429F0"/>
    <w:rsid w:val="00944611"/>
    <w:rsid w:val="00946D07"/>
    <w:rsid w:val="0095080A"/>
    <w:rsid w:val="00955F2A"/>
    <w:rsid w:val="009A3E2A"/>
    <w:rsid w:val="009A6C14"/>
    <w:rsid w:val="009B1CA9"/>
    <w:rsid w:val="009C3564"/>
    <w:rsid w:val="009D17F5"/>
    <w:rsid w:val="009E0E09"/>
    <w:rsid w:val="009E763E"/>
    <w:rsid w:val="009F0FF2"/>
    <w:rsid w:val="00A259C7"/>
    <w:rsid w:val="00A31ED7"/>
    <w:rsid w:val="00A359AA"/>
    <w:rsid w:val="00A3611F"/>
    <w:rsid w:val="00A828FC"/>
    <w:rsid w:val="00A870DB"/>
    <w:rsid w:val="00A966CB"/>
    <w:rsid w:val="00AB4A2F"/>
    <w:rsid w:val="00AE4023"/>
    <w:rsid w:val="00AE5CAF"/>
    <w:rsid w:val="00B005EE"/>
    <w:rsid w:val="00B0221A"/>
    <w:rsid w:val="00B1628A"/>
    <w:rsid w:val="00B272B0"/>
    <w:rsid w:val="00B27C6D"/>
    <w:rsid w:val="00B559C4"/>
    <w:rsid w:val="00B75894"/>
    <w:rsid w:val="00B77AC5"/>
    <w:rsid w:val="00B80B78"/>
    <w:rsid w:val="00B81392"/>
    <w:rsid w:val="00B9247C"/>
    <w:rsid w:val="00B96030"/>
    <w:rsid w:val="00BB3AFD"/>
    <w:rsid w:val="00BC424D"/>
    <w:rsid w:val="00BD2758"/>
    <w:rsid w:val="00BF3108"/>
    <w:rsid w:val="00C32821"/>
    <w:rsid w:val="00C33A5C"/>
    <w:rsid w:val="00C33FF8"/>
    <w:rsid w:val="00C63186"/>
    <w:rsid w:val="00C63D03"/>
    <w:rsid w:val="00C87F7C"/>
    <w:rsid w:val="00C91E53"/>
    <w:rsid w:val="00CA11A0"/>
    <w:rsid w:val="00CD51A9"/>
    <w:rsid w:val="00D11156"/>
    <w:rsid w:val="00D174C4"/>
    <w:rsid w:val="00D453EA"/>
    <w:rsid w:val="00D567A3"/>
    <w:rsid w:val="00D87AE5"/>
    <w:rsid w:val="00D93161"/>
    <w:rsid w:val="00D94FA6"/>
    <w:rsid w:val="00DA357E"/>
    <w:rsid w:val="00DA3DF3"/>
    <w:rsid w:val="00DB0ACE"/>
    <w:rsid w:val="00DB1701"/>
    <w:rsid w:val="00DF5C26"/>
    <w:rsid w:val="00E001E6"/>
    <w:rsid w:val="00E10C91"/>
    <w:rsid w:val="00E34B47"/>
    <w:rsid w:val="00E4266D"/>
    <w:rsid w:val="00E42FB8"/>
    <w:rsid w:val="00E5187A"/>
    <w:rsid w:val="00E5663F"/>
    <w:rsid w:val="00E5710D"/>
    <w:rsid w:val="00E674D7"/>
    <w:rsid w:val="00E73E2E"/>
    <w:rsid w:val="00E90BEA"/>
    <w:rsid w:val="00E95527"/>
    <w:rsid w:val="00EB7536"/>
    <w:rsid w:val="00EC1349"/>
    <w:rsid w:val="00F02E50"/>
    <w:rsid w:val="00F069EA"/>
    <w:rsid w:val="00F12517"/>
    <w:rsid w:val="00F13208"/>
    <w:rsid w:val="00F21359"/>
    <w:rsid w:val="00F2334C"/>
    <w:rsid w:val="00F32589"/>
    <w:rsid w:val="00F513D6"/>
    <w:rsid w:val="00F61DC1"/>
    <w:rsid w:val="00F81685"/>
    <w:rsid w:val="00FA08BD"/>
    <w:rsid w:val="00FA758D"/>
    <w:rsid w:val="00FD0478"/>
    <w:rsid w:val="00FE38FD"/>
    <w:rsid w:val="059C1541"/>
    <w:rsid w:val="08774529"/>
    <w:rsid w:val="11974B19"/>
    <w:rsid w:val="1D95727D"/>
    <w:rsid w:val="3AFC6E6D"/>
    <w:rsid w:val="43745D0F"/>
    <w:rsid w:val="50835AAB"/>
    <w:rsid w:val="513C5EEB"/>
    <w:rsid w:val="580E6766"/>
    <w:rsid w:val="62AA227A"/>
    <w:rsid w:val="73D0568F"/>
    <w:rsid w:val="7B454D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560" w:firstLineChars="200"/>
    </w:pPr>
    <w:rPr>
      <w:sz w:val="2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qFormat/>
    <w:uiPriority w:val="0"/>
    <w:rPr>
      <w:color w:val="333333"/>
      <w:u w:val="none"/>
    </w:rPr>
  </w:style>
  <w:style w:type="character" w:customStyle="1" w:styleId="10">
    <w:name w:val="页脚 Char"/>
    <w:link w:val="3"/>
    <w:qFormat/>
    <w:uiPriority w:val="0"/>
    <w:rPr>
      <w:kern w:val="2"/>
      <w:sz w:val="18"/>
      <w:szCs w:val="18"/>
    </w:rPr>
  </w:style>
  <w:style w:type="character" w:customStyle="1" w:styleId="11">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66</Words>
  <Characters>66</Characters>
  <Lines>21</Lines>
  <Paragraphs>5</Paragraphs>
  <TotalTime>5</TotalTime>
  <ScaleCrop>false</ScaleCrop>
  <LinksUpToDate>false</LinksUpToDate>
  <CharactersWithSpaces>73</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2019-11-26T03:05:00Z</dcterms:created>
  <dc:creator>微软用户</dc:creator>
  <cp:lastModifiedBy>赵扬</cp:lastModifiedBy>
  <cp:lastPrinted>2023-12-01T03:01:00Z</cp:lastPrinted>
  <dcterms:modified xsi:type="dcterms:W3CDTF">2025-06-12T06:31:40Z</dcterms:modified>
  <dc:title>尊敬的用人单位：</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AB497404CE3A4B419AD947977687D171_13</vt:lpwstr>
  </property>
  <property fmtid="{D5CDD505-2E9C-101B-9397-08002B2CF9AE}" pid="4" name="KSOTemplateDocerSaveRecord">
    <vt:lpwstr>eyJoZGlkIjoiOTQ0OWYwMDRmMzZlNGJmMjI2OTU0NzhmYjVmNWQwMDEiLCJ1c2VySWQiOiIyMTc0NjUzODAifQ==</vt:lpwstr>
  </property>
</Properties>
</file>